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7"/>
      </w:tblGrid>
      <w:tr w:rsidR="00CE385D" w:rsidTr="00CE385D">
        <w:trPr>
          <w:trHeight w:val="13830"/>
        </w:trPr>
        <w:tc>
          <w:tcPr>
            <w:tcW w:w="9083" w:type="dxa"/>
            <w:hideMark/>
          </w:tcPr>
          <w:tbl>
            <w:tblPr>
              <w:tblStyle w:val="a3"/>
              <w:tblW w:w="8872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071"/>
            </w:tblGrid>
            <w:tr w:rsidR="00CE385D">
              <w:trPr>
                <w:trHeight w:val="13816"/>
              </w:trPr>
              <w:tc>
                <w:tcPr>
                  <w:tcW w:w="8872" w:type="dxa"/>
                  <w:hideMark/>
                </w:tcPr>
                <w:tbl>
                  <w:tblPr>
                    <w:tblStyle w:val="a3"/>
                    <w:tblW w:w="8651" w:type="dxa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8855"/>
                  </w:tblGrid>
                  <w:tr w:rsidR="00CE385D" w:rsidTr="00CE385D">
                    <w:trPr>
                      <w:trHeight w:val="13803"/>
                    </w:trPr>
                    <w:tc>
                      <w:tcPr>
                        <w:tcW w:w="8651" w:type="dxa"/>
                        <w:hideMark/>
                      </w:tcPr>
                      <w:tbl>
                        <w:tblPr>
                          <w:tblStyle w:val="a3"/>
                          <w:tblW w:w="8711" w:type="dxa"/>
                          <w:tblInd w:w="0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/>
                        </w:tblPr>
                        <w:tblGrid>
                          <w:gridCol w:w="162"/>
                          <w:gridCol w:w="7611"/>
                          <w:gridCol w:w="938"/>
                        </w:tblGrid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LISTE DE FIGURE                          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PAGE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Figure1.1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.le système  phonatoire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</w:tr>
                        <w:tr w:rsidR="00CE385D">
                          <w:trPr>
                            <w:trHeight w:val="306"/>
                          </w:trPr>
                          <w:tc>
                            <w:tcPr>
                              <w:tcW w:w="7773" w:type="dxa"/>
                              <w:gridSpan w:val="2"/>
                            </w:tcPr>
                            <w:p w:rsidR="00CE385D" w:rsidRDefault="00CE385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1.2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Echantillonnage d’un signal </w:t>
                              </w:r>
                            </w:p>
                            <w:p w:rsidR="00CE385D" w:rsidRDefault="00CE385D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Méthode d’échantillonnage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1.4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Spectre d’un signal échantillonné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Quantification d’un signal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Figure1.6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Phénomène d’aliasing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11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1.7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Chaîne de traitement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13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1.8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. Transformées de Fourier de deux signaux différents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14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1.9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Banc de filtres de type Hamming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2.1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Hiérarchisation des domaines du  traitement de la parole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18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2.2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Variabilités intra-locuteur et Inter-Locuteur 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: Système d’identification de Locuteur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22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2.4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Principe de base de (IAL) d'un flux audio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24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Principe de base de la tâche de suivi de locuteurs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26</w:t>
                              </w:r>
                            </w:p>
                          </w:tc>
                        </w:tr>
                        <w:tr w:rsidR="00CE385D">
                          <w:trPr>
                            <w:trHeight w:val="246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2.6</w:t>
                              </w:r>
                              <w:r>
                                <w:rPr>
                                  <w:rFonts w:asciiTheme="majorBidi" w:hAnsiTheme="majorBidi" w:cstheme="majorBidi"/>
                                </w:rPr>
                                <w:t xml:space="preserve"> : Principe de base de la tâche de Vérification Automatique du Locuteur 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27</w:t>
                              </w:r>
                            </w:p>
                          </w:tc>
                        </w:tr>
                        <w:tr w:rsidR="00CE385D">
                          <w:trPr>
                            <w:trHeight w:val="246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2.7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Erreur de mauvaise identification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29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2.8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Erreur de Fausse acceptation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2.9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Erreur de faux rejet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29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3.1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Neurone Biologique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33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3.2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 Représentation graphique d’un neurone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35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Figure: 3.3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Réseau à connexions locales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37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tabs>
                                  <w:tab w:val="center" w:pos="4280"/>
                                  <w:tab w:val="left" w:pos="6969"/>
                                </w:tabs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Figure: 3.4: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Réseau à connexions totales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ab/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38</w:t>
                              </w:r>
                            </w:p>
                          </w:tc>
                        </w:tr>
                        <w:tr w:rsidR="00CE385D">
                          <w:trPr>
                            <w:trHeight w:val="46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ind w:left="1231" w:hanging="1231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:Mode d’apprentissage des réseaux de neurones (a)supervisé, (b) non   Supervisé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39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Architecture d’un perceptron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43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3.7: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Architecture du perceptron Multicouche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44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3.8: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Architecture d’un modèle de Rétropropagation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45</w:t>
                              </w:r>
                            </w:p>
                          </w:tc>
                        </w:tr>
                        <w:tr w:rsidR="00CE385D">
                          <w:trPr>
                            <w:trHeight w:val="196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24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3.9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Réseau à fonctions de base radiales.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46</w:t>
                              </w:r>
                            </w:p>
                          </w:tc>
                        </w:tr>
                        <w:tr w:rsidR="00CE385D">
                          <w:trPr>
                            <w:trHeight w:val="837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120" w:line="360" w:lineRule="auto"/>
                                <w:ind w:left="1231" w:hanging="1231"/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4.1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 : Les étapes de l’opération du mixage. (a)</w:t>
                              </w:r>
                              <w:r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Ouverture</w:t>
                              </w:r>
                              <w:r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  <w:t xml:space="preserve"> des deux fichiers  deparole, (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b)</w:t>
                              </w:r>
                              <w:r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  <w:t xml:space="preserve"> Copier/Coller du premier fichier dans le deuxième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, (</w:t>
                              </w:r>
                              <w:r>
                                <w:rPr>
                                  <w:rFonts w:asciiTheme="majorBidi" w:hAnsiTheme="majorBidi" w:cstheme="majorBidi"/>
                                  <w:noProof/>
                                  <w:sz w:val="24"/>
                                  <w:szCs w:val="24"/>
                                </w:rPr>
                                <w:t>c) Fichier résultant.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49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lastRenderedPageBreak/>
                                <w:t xml:space="preserve">  Figure 4.2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 : élimination des périodes de silence à l’aide de GoldWave.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50</w:t>
                              </w:r>
                            </w:p>
                          </w:tc>
                        </w:tr>
                        <w:tr w:rsidR="00CE385D">
                          <w:trPr>
                            <w:gridBefore w:val="1"/>
                            <w:wBefore w:w="162" w:type="dxa"/>
                            <w:trHeight w:val="369"/>
                          </w:trPr>
                          <w:tc>
                            <w:tcPr>
                              <w:tcW w:w="7611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240" w:line="360" w:lineRule="auto"/>
                                <w:ind w:left="-79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4.3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 : Banc de filtres de type Hamming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51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 Figure 4.4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Principe d’extraction des MFSC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53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tabs>
                                  <w:tab w:val="left" w:pos="7545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ind w:left="1231" w:hanging="1231"/>
                                <w:rPr>
                                  <w:rFonts w:asciiTheme="majorBidi" w:hAnsiTheme="majorBidi" w:cstheme="majorBidi"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 Figure 4.5: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Principe du système de discrimination utilisant un RN basé sur la DRSC.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56</w:t>
                              </w:r>
                            </w:p>
                          </w:tc>
                        </w:tr>
                        <w:tr w:rsidR="00CE385D">
                          <w:trPr>
                            <w:trHeight w:val="20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tabs>
                                  <w:tab w:val="left" w:pos="7545"/>
                                </w:tabs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  Figure 4.6 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Allure de la fonction sigmoïde.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58</w:t>
                              </w:r>
                            </w:p>
                          </w:tc>
                        </w:tr>
                        <w:tr w:rsidR="00CE385D">
                          <w:trPr>
                            <w:trHeight w:val="46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 Figure  4.7 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: Evolution de l’erreur quadratique en fonction du Nbre d’itérations au cours de la phase d’apprentissage.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58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 4.8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Synoptique général de la technique d’apprentissage et de test.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60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tabs>
                                  <w:tab w:val="left" w:pos="1728"/>
                                </w:tabs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 4.9 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Organigramme d’apprentissage d’un MLP mono-locuteur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61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tabs>
                                  <w:tab w:val="left" w:pos="5370"/>
                                </w:tabs>
                                <w:spacing w:after="0" w:line="360" w:lineRule="auto"/>
                                <w:ind w:left="1372" w:hanging="1372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 4.10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Organigramme  de la vérification du locuteur par MLP mono-locuteur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62</w:t>
                              </w:r>
                            </w:p>
                          </w:tc>
                        </w:tr>
                        <w:tr w:rsidR="00CE385D">
                          <w:trPr>
                            <w:trHeight w:val="630"/>
                          </w:trPr>
                          <w:tc>
                            <w:tcPr>
                              <w:tcW w:w="7773" w:type="dxa"/>
                              <w:gridSpan w:val="2"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060" w:hanging="1134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Figure 5.1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Evolution de l’erreur quadratique en fonction du nombre d’itération au cours  de la phase d’apprentissage </w:t>
                              </w:r>
                            </w:p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ind w:left="1060" w:hanging="1134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67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5.2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Temps de vérification pour les locuteurs masculins pour RPG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70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5.3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Temps de vérification pour les locuteurs  féminin pour RPG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71</w:t>
                              </w:r>
                            </w:p>
                          </w:tc>
                        </w:tr>
                        <w:tr w:rsidR="00CE385D">
                          <w:trPr>
                            <w:trHeight w:val="46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5.4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Valeur moyenne de vérification de locuteurs et fausse acceptation</w:t>
                              </w:r>
                            </w:p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                     pour  RPG 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71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5.5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Taux global d’identification  RPG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72</w:t>
                              </w:r>
                            </w:p>
                          </w:tc>
                        </w:tr>
                        <w:tr w:rsidR="00CE385D">
                          <w:trPr>
                            <w:trHeight w:val="707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Evolution de l’erreur quadratique en fonction du nombre </w:t>
                              </w:r>
                            </w:p>
                            <w:p w:rsidR="00CE385D" w:rsidRDefault="00CE385D">
                              <w:pPr>
                                <w:spacing w:after="0" w:line="360" w:lineRule="auto"/>
                                <w:ind w:left="1231" w:hanging="1231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                    d’itération au    code l’apprentissage. Ici on voit que la convergence est  atteinte après 33 itérations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74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5.7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 :  temps de vérification pour les locuteurs masculins  pour LM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77</w:t>
                              </w:r>
                            </w:p>
                          </w:tc>
                        </w:tr>
                        <w:tr w:rsidR="00CE385D">
                          <w:trPr>
                            <w:trHeight w:val="231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5.8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  temps de vérification pour les locuteurs  féminin en s  pour LM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77</w:t>
                              </w:r>
                            </w:p>
                          </w:tc>
                        </w:tr>
                        <w:tr w:rsidR="00CE385D">
                          <w:trPr>
                            <w:trHeight w:val="46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5.9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: La valeur moyenne de vérification de locuteurs masculin et féminin  et  fausse acceptation  pour LM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78</w:t>
                              </w:r>
                            </w:p>
                          </w:tc>
                        </w:tr>
                        <w:tr w:rsidR="00CE385D">
                          <w:trPr>
                            <w:trHeight w:val="238"/>
                          </w:trPr>
                          <w:tc>
                            <w:tcPr>
                              <w:tcW w:w="7773" w:type="dxa"/>
                              <w:gridSpan w:val="2"/>
                              <w:hideMark/>
                            </w:tcPr>
                            <w:p w:rsidR="00CE385D" w:rsidRDefault="00CE385D">
                              <w:pPr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4"/>
                                  <w:szCs w:val="24"/>
                                </w:rPr>
                                <w:t>Figure 5.10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 xml:space="preserve"> : Taux global d’identification  pour LM</w:t>
                              </w:r>
                            </w:p>
                          </w:tc>
                          <w:tc>
                            <w:tcPr>
                              <w:tcW w:w="938" w:type="dxa"/>
                              <w:hideMark/>
                            </w:tcPr>
                            <w:p w:rsidR="00CE385D" w:rsidRDefault="00CE385D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4"/>
                                  <w:szCs w:val="24"/>
                                </w:rPr>
                                <w:t>79</w:t>
                              </w:r>
                            </w:p>
                          </w:tc>
                        </w:tr>
                      </w:tbl>
                      <w:p w:rsidR="00CE385D" w:rsidRDefault="00CE385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CE385D" w:rsidRDefault="00CE385D">
                  <w:pPr>
                    <w:spacing w:after="0" w:line="240" w:lineRule="auto"/>
                    <w:rPr>
                      <w:rFonts w:asciiTheme="majorBidi" w:hAnsiTheme="majorBidi" w:cstheme="majorBidi"/>
                    </w:rPr>
                  </w:pPr>
                </w:p>
              </w:tc>
            </w:tr>
          </w:tbl>
          <w:p w:rsidR="00CE385D" w:rsidRDefault="00CE385D">
            <w:pPr>
              <w:spacing w:after="0" w:line="240" w:lineRule="auto"/>
            </w:pPr>
          </w:p>
        </w:tc>
      </w:tr>
    </w:tbl>
    <w:p w:rsidR="007E1C18" w:rsidRPr="00CE385D" w:rsidRDefault="007E1C18" w:rsidP="00CE385D"/>
    <w:sectPr w:rsidR="007E1C18" w:rsidRPr="00CE385D" w:rsidSect="00CE385D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CC4" w:rsidRDefault="001B1CC4" w:rsidP="00CE385D">
      <w:pPr>
        <w:spacing w:after="0" w:line="240" w:lineRule="auto"/>
      </w:pPr>
      <w:r>
        <w:separator/>
      </w:r>
    </w:p>
  </w:endnote>
  <w:endnote w:type="continuationSeparator" w:id="1">
    <w:p w:rsidR="001B1CC4" w:rsidRDefault="001B1CC4" w:rsidP="00CE3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CC4" w:rsidRDefault="001B1CC4" w:rsidP="00CE385D">
      <w:pPr>
        <w:spacing w:after="0" w:line="240" w:lineRule="auto"/>
      </w:pPr>
      <w:r>
        <w:separator/>
      </w:r>
    </w:p>
  </w:footnote>
  <w:footnote w:type="continuationSeparator" w:id="1">
    <w:p w:rsidR="001B1CC4" w:rsidRDefault="001B1CC4" w:rsidP="00CE38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85D"/>
    <w:rsid w:val="000623E1"/>
    <w:rsid w:val="001B1CC4"/>
    <w:rsid w:val="00447852"/>
    <w:rsid w:val="00484AF5"/>
    <w:rsid w:val="007E1C18"/>
    <w:rsid w:val="00AD60E5"/>
    <w:rsid w:val="00B539B7"/>
    <w:rsid w:val="00CE3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5D"/>
    <w:pPr>
      <w:spacing w:before="0"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385D"/>
    <w:pPr>
      <w:spacing w:before="0" w:after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E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CE385D"/>
  </w:style>
  <w:style w:type="paragraph" w:styleId="a5">
    <w:name w:val="footer"/>
    <w:basedOn w:val="a"/>
    <w:link w:val="Char0"/>
    <w:uiPriority w:val="99"/>
    <w:semiHidden/>
    <w:unhideWhenUsed/>
    <w:rsid w:val="00CE3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CE38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5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</cp:revision>
  <dcterms:created xsi:type="dcterms:W3CDTF">2012-06-12T11:47:00Z</dcterms:created>
  <dcterms:modified xsi:type="dcterms:W3CDTF">2012-06-12T11:48:00Z</dcterms:modified>
</cp:coreProperties>
</file>